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ackground w:color="0D1020"/>
  <w:body>
    <w:p>
      <w:pPr>
        <w:spacing w:before="900" w:after="60"/>
        <w:jc w:val="center"/>
      </w:pPr>
      <w:r>
        <w:rPr>
          <w:rFonts w:ascii="Calibri" w:cs="Calibri" w:eastAsia="Calibri" w:hAnsi="Calibri"/>
          <w:b/>
          <w:bCs/>
          <w:color w:val="FFFFFF"/>
          <w:sz w:val="72"/>
          <w:szCs w:val="72"/>
        </w:rPr>
        <w:t xml:space="preserve">Citizen</w:t>
      </w:r>
      <w:r>
        <w:rPr>
          <w:rFonts w:ascii="Calibri" w:cs="Calibri" w:eastAsia="Calibri" w:hAnsi="Calibri"/>
          <w:b/>
          <w:bCs/>
          <w:color w:val="C4B5FD"/>
          <w:sz w:val="72"/>
          <w:szCs w:val="72"/>
        </w:rPr>
        <w:t xml:space="preserve">Analyzer</w:t>
      </w:r>
    </w:p>
    <w:p>
      <w:pPr>
        <w:spacing w:before="0" w:after="280"/>
        <w:jc w:val="center"/>
      </w:pPr>
      <w:r>
        <w:rPr>
          <w:rFonts w:ascii="Calibri" w:cs="Calibri" w:eastAsia="Calibri" w:hAnsi="Calibri"/>
          <w:i/>
          <w:iCs/>
          <w:color w:val="A5B4FC"/>
          <w:sz w:val="24"/>
          <w:szCs w:val="24"/>
        </w:rPr>
        <w:t xml:space="preserve">OCRI · Bêta publique 1</w:t>
      </w:r>
    </w:p>
    <w:p>
      <w:pPr>
        <w:pBdr>
          <w:top w:val="single" w:color="C4B5FD" w:sz="4" w:space="4"/>
          <w:bottom w:val="single" w:color="C4B5FD" w:sz="4" w:space="4"/>
        </w:pBdr>
        <w:spacing w:before="360" w:after="100"/>
        <w:jc w:val="center"/>
      </w:pPr>
      <w:r>
        <w:rPr>
          <w:rFonts w:ascii="Calibri" w:cs="Calibri" w:eastAsia="Calibri" w:hAnsi="Calibri"/>
          <w:b/>
          <w:bCs/>
          <w:color w:val="FFFFFF"/>
          <w:sz w:val="52"/>
          <w:szCs w:val="52"/>
        </w:rPr>
        <w:t xml:space="preserve">Grille d'évaluation</w:t>
      </w:r>
    </w:p>
    <w:p>
      <w:pPr>
        <w:spacing w:before="100" w:after="60"/>
        <w:jc w:val="center"/>
      </w:pPr>
      <w:r>
        <w:rPr>
          <w:rFonts w:ascii="Calibri" w:cs="Calibri" w:eastAsia="Calibri" w:hAnsi="Calibri"/>
          <w:b/>
          <w:bCs/>
          <w:color w:val="A5B4FC"/>
          <w:sz w:val="24"/>
          <w:szCs w:val="24"/>
        </w:rPr>
        <w:t xml:space="preserve">Bêta 1 · Avril → Août 2026</w:t>
      </w:r>
    </w:p>
    <w:p>
      <w:pPr>
        <w:spacing w:before="40" w:after="60"/>
        <w:jc w:val="center"/>
      </w:pPr>
      <w:r>
        <w:rPr>
          <w:rFonts w:ascii="Calibri" w:cs="Calibri" w:eastAsia="Calibri" w:hAnsi="Calibri"/>
          <w:i/>
          <w:iCs/>
          <w:color w:val="94A3B8"/>
          <w:sz w:val="20"/>
          <w:szCs w:val="20"/>
        </w:rPr>
        <w:t xml:space="preserve">Document à compléter librement — aucun point n'est obligatoire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A103A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0" w:after="20"/>
            </w:pPr>
            <w:r>
              <w:rPr>
                <w:rFonts w:ascii="Calibri" w:cs="Calibri" w:eastAsia="Calibri" w:hAnsi="Calibri"/>
                <w:color w:val="94A3B8"/>
                <w:sz w:val="18"/>
                <w:szCs w:val="18"/>
              </w:rPr>
              <w:t xml:space="preserve">Évaluateur</w:t>
            </w:r>
          </w:p>
          <w:p>
            <w:pPr>
              <w:pBdr>
                <w:bottom w:val="single" w:color="475569" w:sz="1" w:space="2"/>
              </w:pBdr>
              <w:spacing w:before="0" w:after="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A103A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0" w:after="20"/>
            </w:pPr>
            <w:r>
              <w:rPr>
                <w:rFonts w:ascii="Calibri" w:cs="Calibri" w:eastAsia="Calibri" w:hAnsi="Calibri"/>
                <w:color w:val="94A3B8"/>
                <w:sz w:val="18"/>
                <w:szCs w:val="18"/>
              </w:rPr>
              <w:t xml:space="preserve">Date de test</w:t>
            </w:r>
          </w:p>
          <w:p>
            <w:pPr>
              <w:pBdr>
                <w:bottom w:val="single" w:color="475569" w:sz="1" w:space="2"/>
              </w:pBdr>
              <w:spacing w:before="0" w:after="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</w:tc>
      </w:tr>
    </w:tbl>
    <w:p>
      <w:pPr>
        <w:spacing w:before="60" w:after="800"/>
        <w:jc w:val="center"/>
      </w:pPr>
      <w:r>
        <w:rPr>
          <w:rFonts w:ascii="Calibri" w:cs="Calibri" w:eastAsia="Calibri" w:hAnsi="Calibri"/>
          <w:i/>
          <w:iCs/>
          <w:color w:val="94A3B8"/>
          <w:sz w:val="18"/>
          <w:szCs w:val="18"/>
        </w:rPr>
        <w:t xml:space="preserve">Navigateur utilisé : Chrome _______________     Version OS : _______________</w:t>
      </w:r>
    </w:p>
    <w:p>
      <w:r>
        <w:br w:type="page"/>
      </w:r>
    </w:p>
    <w:p>
      <w:pPr>
        <w:spacing w:before="80" w:after="80"/>
        <w:jc w:val="left"/>
      </w:pPr>
      <w:r>
        <w:rPr>
          <w:rFonts w:ascii="Calibri" w:cs="Calibri" w:eastAsia="Calibri" w:hAnsi="Calibri"/>
          <w:b w:val="false"/>
          <w:bCs w:val="false"/>
          <w:i/>
          <w:iCs/>
          <w:color w:val="64748B"/>
          <w:sz w:val="22"/>
          <w:szCs w:val="22"/>
        </w:rPr>
        <w:t xml:space="preserve">Cette grille est entièrement libre de respecter. Cochez uniquement ce que vous avez pu tester naturellement au fil de votre usage. Il n'est pas nécessaire de tout parcourir dans l'ordre.</w:t>
      </w:r>
    </w:p>
    <w:p>
      <w:pPr>
        <w:spacing w:before="40" w:after="12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64748B"/>
          <w:sz w:val="20"/>
          <w:szCs w:val="20"/>
        </w:rPr>
        <w:t xml:space="preserve">Pour tout retour complémentaire, utiliser les zones « Observations libres » ou contacter directement : contact@citizen-analyzer.org</w:t>
      </w:r>
    </w:p>
    <w:p>
      <w:pPr>
        <w:spacing w:before="0" w:after="100"/>
      </w:pPr>
    </w:p>
    <w:p>
      <w:pPr>
        <w:pStyle w:val="Heading2"/>
        <w:pBdr>
          <w:bottom w:val="single" w:color="7C3AED" w:sz="4" w:space="4"/>
        </w:pBdr>
        <w:spacing w:before="220" w:after="100"/>
      </w:pPr>
      <w:r>
        <w:rPr>
          <w:rFonts w:ascii="Calibri" w:cs="Calibri" w:eastAsia="Calibri" w:hAnsi="Calibri"/>
          <w:b/>
          <w:bCs/>
          <w:color w:val="7C3AED"/>
          <w:sz w:val="26"/>
          <w:szCs w:val="26"/>
        </w:rPr>
        <w:t xml:space="preserve">A — Installation &amp; démarrage</w:t>
      </w:r>
    </w:p>
    <w:p>
      <w:pPr>
        <w:spacing w:before="0" w:after="10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200"/>
        <w:gridCol w:w="5226"/>
      </w:tblGrid>
      <w:tr>
        <w:tc>
          <w:tcPr>
            <w:gridSpan w:val="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1"/>
                <w:szCs w:val="21"/>
              </w:rPr>
              <w:t xml:space="preserve">Vérification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Installation sans erreur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Chargement de l'extension dans Chrome sans message d'erreur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Icône visible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L'icône apparaît dans la barre des extensions après chargement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Panneau s'ouvre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Clic sur l'icône → le panneau Citizen Analyzer s'affiche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Panneau sur page normale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Fonctionne sur une page web standard (pas about: ou erreur 404)</w:t>
            </w:r>
          </w:p>
        </w:tc>
      </w:tr>
    </w:tbl>
    <w:p>
      <w:pPr>
        <w:spacing w:before="0" w:after="100"/>
      </w:pPr>
    </w:p>
    <w:p>
      <w:pPr>
        <w:pStyle w:val="Heading2"/>
        <w:pBdr>
          <w:bottom w:val="single" w:color="7C3AED" w:sz="4" w:space="4"/>
        </w:pBdr>
        <w:spacing w:before="220" w:after="100"/>
      </w:pPr>
      <w:r>
        <w:rPr>
          <w:rFonts w:ascii="Calibri" w:cs="Calibri" w:eastAsia="Calibri" w:hAnsi="Calibri"/>
          <w:b/>
          <w:bCs/>
          <w:color w:val="7C3AED"/>
          <w:sz w:val="26"/>
          <w:szCs w:val="26"/>
        </w:rPr>
        <w:t xml:space="preserve">B — Analyse — fonctionnement général</w:t>
      </w:r>
    </w:p>
    <w:p>
      <w:pPr>
        <w:spacing w:before="0" w:after="10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200"/>
        <w:gridCol w:w="5226"/>
      </w:tblGrid>
      <w:tr>
        <w:tc>
          <w:tcPr>
            <w:gridSpan w:val="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1"/>
                <w:szCs w:val="21"/>
              </w:rPr>
              <w:t xml:space="preserve">Vérification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Bouton Analyser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Le bouton répond au clic sans blocage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Analyse complète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L'analyse se termine — score affiché, pas d'écran blanc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Score global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Un score (0–100) s'affiche en résultat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Tiroirs N1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Les tiroirs thématiques s'affichent et sont dépliables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Grille de fiabilité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10 indicateurs documentés visibles dans les résultats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Thermomètre régime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L'indicateur V-Dem s'affiche correctement</w:t>
            </w:r>
          </w:p>
        </w:tc>
      </w:tr>
    </w:tbl>
    <w:p>
      <w:pPr>
        <w:spacing w:before="0" w:after="100"/>
      </w:pPr>
    </w:p>
    <w:p>
      <w:pPr>
        <w:pStyle w:val="Heading2"/>
        <w:pBdr>
          <w:bottom w:val="single" w:color="7C3AED" w:sz="4" w:space="4"/>
        </w:pBdr>
        <w:spacing w:before="220" w:after="100"/>
      </w:pPr>
      <w:r>
        <w:rPr>
          <w:rFonts w:ascii="Calibri" w:cs="Calibri" w:eastAsia="Calibri" w:hAnsi="Calibri"/>
          <w:b/>
          <w:bCs/>
          <w:color w:val="7C3AED"/>
          <w:sz w:val="26"/>
          <w:szCs w:val="26"/>
        </w:rPr>
        <w:t xml:space="preserve">C — Modes d'analyse</w:t>
      </w:r>
    </w:p>
    <w:p>
      <w:pPr>
        <w:spacing w:before="0" w:after="10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200"/>
        <w:gridCol w:w="5226"/>
      </w:tblGrid>
      <w:tr>
        <w:tc>
          <w:tcPr>
            <w:gridSpan w:val="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1"/>
                <w:szCs w:val="21"/>
              </w:rPr>
              <w:t xml:space="preserve">Vérification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Mode Discours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Fonctionne sur un article de presse ou discours en ligne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Mode Programme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Fonctionne sur un programme électoral (texte ou PDF)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Mode Média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Fonctionne sur un article d'un site d'information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Détection automatique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Le mode détecté correspond au type de contenu analysé</w:t>
            </w:r>
          </w:p>
        </w:tc>
      </w:tr>
    </w:tbl>
    <w:p>
      <w:pPr>
        <w:spacing w:before="0" w:after="100"/>
      </w:pPr>
    </w:p>
    <w:p>
      <w:pPr>
        <w:pStyle w:val="Heading2"/>
        <w:pBdr>
          <w:bottom w:val="single" w:color="7C3AED" w:sz="4" w:space="4"/>
        </w:pBdr>
        <w:spacing w:before="220" w:after="100"/>
      </w:pPr>
      <w:r>
        <w:rPr>
          <w:rFonts w:ascii="Calibri" w:cs="Calibri" w:eastAsia="Calibri" w:hAnsi="Calibri"/>
          <w:b/>
          <w:bCs/>
          <w:color w:val="7C3AED"/>
          <w:sz w:val="26"/>
          <w:szCs w:val="26"/>
        </w:rPr>
        <w:t xml:space="preserve">D — Module « Et moi ? »</w:t>
      </w:r>
    </w:p>
    <w:p>
      <w:pPr>
        <w:spacing w:before="0" w:after="10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200"/>
        <w:gridCol w:w="5226"/>
      </w:tblGrid>
      <w:tr>
        <w:tc>
          <w:tcPr>
            <w:gridSpan w:val="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1"/>
                <w:szCs w:val="21"/>
              </w:rPr>
              <w:t xml:space="preserve">Vérification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Section visible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Le module « Et moi ? » s'affiche dans les résultats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Droits pertinents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Les droits détectés correspondent au texte analysé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Niveau d'impact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L'indicateur fort / moyen / faible semble cohérent</w:t>
            </w:r>
          </w:p>
        </w:tc>
      </w:tr>
    </w:tbl>
    <w:p>
      <w:pPr>
        <w:spacing w:before="0" w:after="100"/>
      </w:pPr>
    </w:p>
    <w:p>
      <w:pPr>
        <w:pStyle w:val="Heading2"/>
        <w:pBdr>
          <w:bottom w:val="single" w:color="7C3AED" w:sz="4" w:space="4"/>
        </w:pBdr>
        <w:spacing w:before="220" w:after="100"/>
      </w:pPr>
      <w:r>
        <w:rPr>
          <w:rFonts w:ascii="Calibri" w:cs="Calibri" w:eastAsia="Calibri" w:hAnsi="Calibri"/>
          <w:b/>
          <w:bCs/>
          <w:color w:val="7C3AED"/>
          <w:sz w:val="26"/>
          <w:szCs w:val="26"/>
        </w:rPr>
        <w:t xml:space="preserve">E — Interface &amp; navigation</w:t>
      </w:r>
    </w:p>
    <w:p>
      <w:pPr>
        <w:spacing w:before="0" w:after="10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200"/>
        <w:gridCol w:w="5226"/>
      </w:tblGrid>
      <w:tr>
        <w:tc>
          <w:tcPr>
            <w:gridSpan w:val="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1"/>
                <w:szCs w:val="21"/>
              </w:rPr>
              <w:t xml:space="preserve">Vérification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Affichage correct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Pas de texte coupé, pas de débordement sur votre écran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Tiroirs fonctionnels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Les tiroirs s'ouvrent et se ferment correctement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Bouton Réduire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Le bouton Réduire fonctionne et masque le panneau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Page non perturbée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La page analysée reste utilisable pendant et après l'analyse</w:t>
            </w:r>
          </w:p>
        </w:tc>
      </w:tr>
    </w:tbl>
    <w:p>
      <w:pPr>
        <w:spacing w:before="0" w:after="100"/>
      </w:pPr>
    </w:p>
    <w:p>
      <w:pPr>
        <w:pStyle w:val="Heading2"/>
        <w:pBdr>
          <w:bottom w:val="single" w:color="7C3AED" w:sz="4" w:space="4"/>
        </w:pBdr>
        <w:spacing w:before="220" w:after="100"/>
      </w:pPr>
      <w:r>
        <w:rPr>
          <w:rFonts w:ascii="Calibri" w:cs="Calibri" w:eastAsia="Calibri" w:hAnsi="Calibri"/>
          <w:b/>
          <w:bCs/>
          <w:color w:val="7C3AED"/>
          <w:sz w:val="26"/>
          <w:szCs w:val="26"/>
        </w:rPr>
        <w:t xml:space="preserve">F — Partage &amp; bibliothèque</w:t>
      </w:r>
    </w:p>
    <w:p>
      <w:pPr>
        <w:spacing w:before="0" w:after="10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200"/>
        <w:gridCol w:w="5226"/>
      </w:tblGrid>
      <w:tr>
        <w:tc>
          <w:tcPr>
            <w:gridSpan w:val="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1"/>
                <w:szCs w:val="21"/>
              </w:rPr>
              <w:t xml:space="preserve">Vérification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Bouton Partager visible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Le bouton est présent et accessible dans l'interface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Partage sans erreur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L'opération de partage se termine correctement</w:t>
            </w:r>
          </w:p>
        </w:tc>
      </w:tr>
      <w:tr>
        <w:tc>
          <w:tcPr>
            <w:tcW w:type="dxa" w:w="6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7C3AED"/>
                <w:sz w:val="24"/>
                <w:szCs w:val="24"/>
              </w:rPr>
              <w:t xml:space="preserve">☐</w:t>
            </w:r>
          </w:p>
        </w:tc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1B4B"/>
                <w:sz w:val="21"/>
                <w:szCs w:val="21"/>
              </w:rPr>
              <w:t xml:space="preserve">Apparition en bibliothèque</w:t>
            </w:r>
          </w:p>
        </w:tc>
        <w:tc>
          <w:tcPr>
            <w:tcW w:type="dxa" w:w="5226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64748B"/>
                <w:sz w:val="20"/>
                <w:szCs w:val="20"/>
              </w:rPr>
              <w:t xml:space="preserve">L'analyse apparaît sur citizen-analyzer.org/bibliotheque.html</w:t>
            </w:r>
          </w:p>
        </w:tc>
      </w:tr>
    </w:tbl>
    <w:p>
      <w:pPr>
        <w:spacing w:before="0" w:after="100"/>
      </w:pPr>
    </w:p>
    <w:p>
      <w:pPr>
        <w:pBdr>
          <w:bottom w:val="single" w:color="E2E8F0" w:sz="2" w:space="1"/>
        </w:pBdr>
        <w:spacing w:before="120" w:after="120"/>
      </w:pPr>
    </w:p>
    <w:p>
      <w:pPr>
        <w:pStyle w:val="Heading2"/>
        <w:pBdr>
          <w:bottom w:val="single" w:color="7C3AED" w:sz="4" w:space="4"/>
        </w:pBdr>
        <w:spacing w:before="220" w:after="100"/>
      </w:pPr>
      <w:r>
        <w:rPr>
          <w:rFonts w:ascii="Calibri" w:cs="Calibri" w:eastAsia="Calibri" w:hAnsi="Calibri"/>
          <w:b/>
          <w:bCs/>
          <w:color w:val="7C3AED"/>
          <w:sz w:val="26"/>
          <w:szCs w:val="26"/>
        </w:rPr>
        <w:t xml:space="preserve">G — Bugs &amp; comportements inattendus</w:t>
      </w:r>
    </w:p>
    <w:p>
      <w:pPr>
        <w:spacing w:before="0" w:after="100"/>
      </w:pPr>
    </w:p>
    <w:p>
      <w:pPr>
        <w:spacing w:before="60" w:after="80"/>
        <w:jc w:val="left"/>
      </w:pPr>
      <w:r>
        <w:rPr>
          <w:rFonts w:ascii="Calibri" w:cs="Calibri" w:eastAsia="Calibri" w:hAnsi="Calibri"/>
          <w:b w:val="false"/>
          <w:bCs w:val="false"/>
          <w:i/>
          <w:iCs/>
          <w:color w:val="64748B"/>
          <w:sz w:val="22"/>
          <w:szCs w:val="22"/>
        </w:rPr>
        <w:t xml:space="preserve">Décrire tout comportement inattendu, message d'erreur, incohérence ou point de friction.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200"/>
        <w:gridCol w:w="5226"/>
      </w:tblGrid>
      <w:tr>
        <w:tc>
          <w:tcPr>
            <w:gridSpan w:val="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1"/>
                <w:szCs w:val="21"/>
              </w:rPr>
              <w:t xml:space="preserve">Observations libres</w:t>
            </w:r>
          </w:p>
        </w:tc>
      </w:tr>
      <w:tr>
        <w:tc>
          <w:tcPr>
            <w:gridSpan w:val="3"/>
            <w:tcBorders>
              <w:top w:val="none" w:color="FFFFFF" w:sz="0"/>
              <w:left w:val="none" w:color="FFFFFF" w:sz="0"/>
              <w:bottom w:val="single" w:color="CBD5E1" w:sz="1"/>
              <w:right w:val="none" w:color="FFFFFF" w:sz="0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sz w:val="22"/>
                <w:szCs w:val="22"/>
              </w:rPr>
              <w:t xml:space="preserve"/>
            </w:r>
          </w:p>
        </w:tc>
      </w:tr>
      <w:tr>
        <w:tc>
          <w:tcPr>
            <w:gridSpan w:val="3"/>
            <w:tcBorders>
              <w:top w:val="none" w:color="FFFFFF" w:sz="0"/>
              <w:left w:val="none" w:color="FFFFFF" w:sz="0"/>
              <w:bottom w:val="single" w:color="CBD5E1" w:sz="1"/>
              <w:right w:val="none" w:color="FFFFFF" w:sz="0"/>
            </w:tcBorders>
            <w:shd w:fill="F8F7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sz w:val="22"/>
                <w:szCs w:val="22"/>
              </w:rPr>
              <w:t xml:space="preserve"/>
            </w:r>
          </w:p>
        </w:tc>
      </w:tr>
      <w:tr>
        <w:tc>
          <w:tcPr>
            <w:gridSpan w:val="3"/>
            <w:tcBorders>
              <w:top w:val="none" w:color="FFFFFF" w:sz="0"/>
              <w:left w:val="none" w:color="FFFFFF" w:sz="0"/>
              <w:bottom w:val="single" w:color="CBD5E1" w:sz="1"/>
              <w:right w:val="none" w:color="FFFFFF" w:sz="0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sz w:val="22"/>
                <w:szCs w:val="22"/>
              </w:rPr>
              <w:t xml:space="preserve"/>
            </w:r>
          </w:p>
        </w:tc>
      </w:tr>
      <w:tr>
        <w:tc>
          <w:tcPr>
            <w:gridSpan w:val="3"/>
            <w:tcBorders>
              <w:top w:val="none" w:color="FFFFFF" w:sz="0"/>
              <w:left w:val="none" w:color="FFFFFF" w:sz="0"/>
              <w:bottom w:val="single" w:color="CBD5E1" w:sz="1"/>
              <w:right w:val="none" w:color="FFFFFF" w:sz="0"/>
            </w:tcBorders>
            <w:shd w:fill="F8F7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sz w:val="22"/>
                <w:szCs w:val="22"/>
              </w:rPr>
              <w:t xml:space="preserve"/>
            </w:r>
          </w:p>
        </w:tc>
      </w:tr>
      <w:tr>
        <w:tc>
          <w:tcPr>
            <w:gridSpan w:val="3"/>
            <w:tcBorders>
              <w:top w:val="none" w:color="FFFFFF" w:sz="0"/>
              <w:left w:val="none" w:color="FFFFFF" w:sz="0"/>
              <w:bottom w:val="single" w:color="CBD5E1" w:sz="1"/>
              <w:right w:val="none" w:color="FFFFFF" w:sz="0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sz w:val="22"/>
                <w:szCs w:val="22"/>
              </w:rPr>
              <w:t xml:space="preserve"/>
            </w:r>
          </w:p>
        </w:tc>
      </w:tr>
      <w:tr>
        <w:tc>
          <w:tcPr>
            <w:gridSpan w:val="3"/>
            <w:tcBorders>
              <w:top w:val="none" w:color="FFFFFF" w:sz="0"/>
              <w:left w:val="none" w:color="FFFFFF" w:sz="0"/>
              <w:bottom w:val="single" w:color="CBD5E1" w:sz="1"/>
              <w:right w:val="none" w:color="FFFFFF" w:sz="0"/>
            </w:tcBorders>
            <w:shd w:fill="F8F7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sz w:val="22"/>
                <w:szCs w:val="22"/>
              </w:rPr>
              <w:t xml:space="preserve"/>
            </w:r>
          </w:p>
        </w:tc>
      </w:tr>
      <w:tr>
        <w:tc>
          <w:tcPr>
            <w:gridSpan w:val="3"/>
            <w:tcBorders>
              <w:top w:val="none" w:color="FFFFFF" w:sz="0"/>
              <w:left w:val="none" w:color="FFFFFF" w:sz="0"/>
              <w:bottom w:val="single" w:color="CBD5E1" w:sz="1"/>
              <w:right w:val="none" w:color="FFFFFF" w:sz="0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sz w:val="22"/>
                <w:szCs w:val="22"/>
              </w:rPr>
              <w:t xml:space="preserve"/>
            </w:r>
          </w:p>
        </w:tc>
      </w:tr>
      <w:tr>
        <w:tc>
          <w:tcPr>
            <w:gridSpan w:val="3"/>
            <w:tcBorders>
              <w:top w:val="none" w:color="FFFFFF" w:sz="0"/>
              <w:left w:val="none" w:color="FFFFFF" w:sz="0"/>
              <w:bottom w:val="single" w:color="CBD5E1" w:sz="1"/>
              <w:right w:val="none" w:color="FFFFFF" w:sz="0"/>
            </w:tcBorders>
            <w:shd w:fill="F8F7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sz w:val="22"/>
                <w:szCs w:val="22"/>
              </w:rPr>
              <w:t xml:space="preserve"/>
            </w:r>
          </w:p>
        </w:tc>
      </w:tr>
      <w:tr>
        <w:tc>
          <w:tcPr>
            <w:gridSpan w:val="3"/>
            <w:tcBorders>
              <w:top w:val="none" w:color="FFFFFF" w:sz="0"/>
              <w:left w:val="none" w:color="FFFFFF" w:sz="0"/>
              <w:bottom w:val="single" w:color="CBD5E1" w:sz="1"/>
              <w:right w:val="none" w:color="FFFFFF" w:sz="0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sz w:val="22"/>
                <w:szCs w:val="22"/>
              </w:rPr>
              <w:t xml:space="preserve"/>
            </w:r>
          </w:p>
        </w:tc>
      </w:tr>
      <w:tr>
        <w:tc>
          <w:tcPr>
            <w:gridSpan w:val="3"/>
            <w:tcBorders>
              <w:top w:val="none" w:color="FFFFFF" w:sz="0"/>
              <w:left w:val="none" w:color="FFFFFF" w:sz="0"/>
              <w:bottom w:val="single" w:color="CBD5E1" w:sz="1"/>
              <w:right w:val="none" w:color="FFFFFF" w:sz="0"/>
            </w:tcBorders>
            <w:shd w:fill="F8F7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sz w:val="22"/>
                <w:szCs w:val="22"/>
              </w:rPr>
              <w:t xml:space="preserve"/>
            </w:r>
          </w:p>
        </w:tc>
      </w:tr>
      <w:tr>
        <w:tc>
          <w:tcPr>
            <w:gridSpan w:val="3"/>
            <w:tcBorders>
              <w:top w:val="none" w:color="FFFFFF" w:sz="0"/>
              <w:left w:val="none" w:color="FFFFFF" w:sz="0"/>
              <w:bottom w:val="single" w:color="CBD5E1" w:sz="1"/>
              <w:right w:val="none" w:color="FFFFFF" w:sz="0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sz w:val="22"/>
                <w:szCs w:val="22"/>
              </w:rPr>
              <w:t xml:space="preserve"/>
            </w:r>
          </w:p>
        </w:tc>
      </w:tr>
      <w:tr>
        <w:tc>
          <w:tcPr>
            <w:gridSpan w:val="3"/>
            <w:tcBorders>
              <w:top w:val="none" w:color="FFFFFF" w:sz="0"/>
              <w:left w:val="none" w:color="FFFFFF" w:sz="0"/>
              <w:bottom w:val="single" w:color="CBD5E1" w:sz="1"/>
              <w:right w:val="none" w:color="FFFFFF" w:sz="0"/>
            </w:tcBorders>
            <w:shd w:fill="F8F7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sz w:val="22"/>
                <w:szCs w:val="22"/>
              </w:rPr>
              <w:t xml:space="preserve"/>
            </w:r>
          </w:p>
        </w:tc>
      </w:tr>
    </w:tbl>
    <w:p>
      <w:pPr>
        <w:spacing w:before="0" w:after="100"/>
      </w:pPr>
    </w:p>
    <w:p>
      <w:pPr>
        <w:pBdr>
          <w:bottom w:val="single" w:color="E2E8F0" w:sz="2" w:space="1"/>
        </w:pBdr>
        <w:spacing w:before="120" w:after="120"/>
      </w:pPr>
    </w:p>
    <w:p>
      <w:pPr>
        <w:pStyle w:val="Heading2"/>
        <w:pBdr>
          <w:bottom w:val="single" w:color="7C3AED" w:sz="4" w:space="4"/>
        </w:pBdr>
        <w:spacing w:before="220" w:after="100"/>
      </w:pPr>
      <w:r>
        <w:rPr>
          <w:rFonts w:ascii="Calibri" w:cs="Calibri" w:eastAsia="Calibri" w:hAnsi="Calibri"/>
          <w:b/>
          <w:bCs/>
          <w:color w:val="7C3AED"/>
          <w:sz w:val="26"/>
          <w:szCs w:val="26"/>
        </w:rPr>
        <w:t xml:space="preserve">H — Impression générale</w:t>
      </w:r>
    </w:p>
    <w:p>
      <w:pPr>
        <w:spacing w:before="0" w:after="10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7226"/>
      </w:tblGrid>
      <w:tr>
        <w:tc>
          <w:tcPr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E1B4B"/>
                <w:sz w:val="20"/>
                <w:szCs w:val="20"/>
              </w:rPr>
              <w:t xml:space="preserve">Lisibilité des résultats</w:t>
            </w:r>
          </w:p>
        </w:tc>
        <w:tc>
          <w:tcPr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E1B4B"/>
                <w:sz w:val="20"/>
                <w:szCs w:val="20"/>
              </w:rPr>
              <w:t xml:space="preserve">☐ Claire     ☐ Correcte     ☐ Insuffisante</w:t>
            </w:r>
          </w:p>
        </w:tc>
      </w:tr>
      <w:tr>
        <w:tc>
          <w:tcPr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E1B4B"/>
                <w:sz w:val="20"/>
                <w:szCs w:val="20"/>
              </w:rPr>
              <w:t xml:space="preserve">Pertinence de l'analyse</w:t>
            </w:r>
          </w:p>
        </w:tc>
        <w:tc>
          <w:tcPr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E1B4B"/>
                <w:sz w:val="20"/>
                <w:szCs w:val="20"/>
              </w:rPr>
              <w:t xml:space="preserve">☐ Convaincante     ☐ Partielle     ☐ À améliorer</w:t>
            </w:r>
          </w:p>
        </w:tc>
      </w:tr>
      <w:tr>
        <w:tc>
          <w:tcPr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7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E1B4B"/>
                <w:sz w:val="20"/>
                <w:szCs w:val="20"/>
              </w:rPr>
              <w:t xml:space="preserve">Stabilité générale</w:t>
            </w:r>
          </w:p>
        </w:tc>
        <w:tc>
          <w:tcPr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E1B4B"/>
                <w:sz w:val="20"/>
                <w:szCs w:val="20"/>
              </w:rPr>
              <w:t xml:space="preserve">☐ Stable     ☐ Quelques bugs     ☐ Instable</w:t>
            </w:r>
          </w:p>
        </w:tc>
      </w:tr>
    </w:tbl>
    <w:p>
      <w:pPr>
        <w:spacing w:before="0" w:after="100"/>
      </w:pPr>
    </w:p>
    <w:p>
      <w:pPr>
        <w:spacing w:before="120" w:after="4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1E1B4B"/>
          <w:sz w:val="22"/>
          <w:szCs w:val="22"/>
        </w:rPr>
        <w:t xml:space="preserve">Commentaire global :</w:t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pBdr>
          <w:bottom w:val="single" w:color="CBD5E1" w:sz="1" w:space="2"/>
        </w:pBdr>
        <w:spacing w:before="0" w:after="60"/>
      </w:pPr>
      <w:r>
        <w:rPr>
          <w:sz w:val="22"/>
          <w:szCs w:val="22"/>
        </w:rPr>
        <w:t xml:space="preserve"/>
      </w:r>
    </w:p>
    <w:p>
      <w:pPr>
        <w:spacing w:before="0" w:after="100"/>
      </w:pPr>
    </w:p>
    <w:sectPr>
      <w:headerReference w:type="default" r:id="rId6"/>
      <w:footerReference w:type="default" r:id="rId7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2E8F0" w:sz="2" w:space="4"/>
      </w:pBdr>
      <w:spacing w:before="80" w:after="0"/>
    </w:pPr>
    <w:r>
      <w:rPr>
        <w:rFonts w:ascii="Calibri" w:cs="Calibri" w:eastAsia="Calibri" w:hAnsi="Calibri"/>
        <w:color w:val="64748B"/>
        <w:sz w:val="16"/>
        <w:szCs w:val="16"/>
      </w:rPr>
      <w:t xml:space="preserve">citizen-analyzer.org  ·  OCRI / AIDEC  ·  Confidentiel bêta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7C3AED" w:sz="4" w:space="4"/>
      </w:pBdr>
      <w:spacing w:before="0" w:after="80"/>
    </w:pPr>
    <w:r>
      <w:rPr>
        <w:rFonts w:ascii="Calibri" w:cs="Calibri" w:eastAsia="Calibri" w:hAnsi="Calibri"/>
        <w:b/>
        <w:bCs/>
        <w:color w:val="7C3AED"/>
        <w:sz w:val="18"/>
        <w:szCs w:val="18"/>
      </w:rPr>
      <w:t xml:space="preserve">Citizen</w:t>
    </w:r>
    <w:r>
      <w:rPr>
        <w:rFonts w:ascii="Calibri" w:cs="Calibri" w:eastAsia="Calibri" w:hAnsi="Calibri"/>
        <w:b/>
        <w:bCs/>
        <w:color w:val="7C3AED"/>
        <w:sz w:val="18"/>
        <w:szCs w:val="18"/>
      </w:rPr>
      <w:t xml:space="preserve">Analyzer</w:t>
    </w:r>
    <w:r>
      <w:rPr>
        <w:rFonts w:ascii="Calibri" w:cs="Calibri" w:eastAsia="Calibri" w:hAnsi="Calibri"/>
        <w:color w:val="64748B"/>
        <w:sz w:val="18"/>
        <w:szCs w:val="18"/>
      </w:rPr>
      <w:t xml:space="preserve">  ·  Grille d'évaluation bêta 1  ·  Avril – Août 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→"/>
      <w:lvlJc w:val="left"/>
      <w:pPr>
        <w:ind w:left="540" w:hanging="360"/>
      </w:pPr>
      <w:rPr>
        <w:rFonts w:ascii="Calibri" w:cs="Calibri" w:eastAsia="Calibri" w:hAnsi="Calibri"/>
        <w:color w:val="7C3AED"/>
        <w:sz w:val="22"/>
        <w:szCs w:val="22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1B4B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2">
    <w:name w:val="Heading 2"/>
    <w:basedOn w:val="Normal"/>
    <w:next w:val="Normal"/>
    <w:qFormat/>
    <w:pPr>
      <w:spacing w:before="220" w:after="100"/>
      <w:outlineLvl w:val="1"/>
    </w:pPr>
    <w:rPr>
      <w:rFonts w:ascii="Calibri" w:cs="Calibri" w:eastAsia="Calibri" w:hAnsi="Calibri"/>
      <w:b/>
      <w:bCs/>
      <w:color w:val="7C3AED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2026-03-12T19:21:57.276Z</dcterms:created>
  <dcterms:modified xsi:type="dcterms:W3CDTF">2026-03-12T19:21:57.278Z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