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ackground w:color="0D1020"/>
  <w:body>
    <w:p>
      <w:pPr>
        <w:spacing w:before="1000" w:after="60"/>
        <w:jc w:val="center"/>
      </w:pPr>
      <w:r>
        <w:rPr>
          <w:rFonts w:ascii="Calibri" w:cs="Calibri" w:eastAsia="Calibri" w:hAnsi="Calibri"/>
          <w:b/>
          <w:bCs/>
          <w:color w:val="FFFFFF"/>
          <w:sz w:val="88"/>
          <w:szCs w:val="88"/>
        </w:rPr>
        <w:t xml:space="preserve">Citizen</w:t>
      </w:r>
      <w:r>
        <w:rPr>
          <w:rFonts w:ascii="Calibri" w:cs="Calibri" w:eastAsia="Calibri" w:hAnsi="Calibri"/>
          <w:b/>
          <w:bCs/>
          <w:color w:val="C4B5FD"/>
          <w:sz w:val="88"/>
          <w:szCs w:val="88"/>
        </w:rPr>
        <w:t xml:space="preserve">Analyzer</w:t>
      </w:r>
    </w:p>
    <w:p>
      <w:pPr>
        <w:spacing w:before="0" w:after="300"/>
        <w:jc w:val="center"/>
      </w:pPr>
      <w:r>
        <w:rPr>
          <w:rFonts w:ascii="Calibri" w:cs="Calibri" w:eastAsia="Calibri" w:hAnsi="Calibri"/>
          <w:i/>
          <w:iCs/>
          <w:color w:val="A5B4FC"/>
          <w:sz w:val="26"/>
          <w:szCs w:val="26"/>
        </w:rPr>
        <w:t xml:space="preserve">OCRI · Bêta publique 1</w:t>
      </w:r>
    </w:p>
    <w:p>
      <w:pPr>
        <w:pBdr>
          <w:top w:val="single" w:color="C4B5FD" w:sz="4" w:space="4"/>
          <w:bottom w:val="single" w:color="C4B5FD" w:sz="4" w:space="4"/>
        </w:pBdr>
        <w:spacing w:before="400" w:after="120"/>
        <w:jc w:val="center"/>
      </w:pPr>
      <w:r>
        <w:rPr>
          <w:rFonts w:ascii="Calibri" w:cs="Calibri" w:eastAsia="Calibri" w:hAnsi="Calibri"/>
          <w:b/>
          <w:bCs/>
          <w:color w:val="FFFFFF"/>
          <w:sz w:val="56"/>
          <w:szCs w:val="56"/>
        </w:rPr>
        <w:t xml:space="preserve">Guide bêta-testeur</w:t>
      </w:r>
    </w:p>
    <w:p>
      <w:pPr>
        <w:spacing w:before="120" w:after="60"/>
        <w:jc w:val="center"/>
      </w:pPr>
      <w:r>
        <w:rPr>
          <w:rFonts w:ascii="Calibri" w:cs="Calibri" w:eastAsia="Calibri" w:hAnsi="Calibri"/>
          <w:b/>
          <w:bCs/>
          <w:color w:val="A5B4FC"/>
          <w:sz w:val="26"/>
          <w:szCs w:val="26"/>
        </w:rPr>
        <w:t xml:space="preserve">Période de bêta : 15 avril → 15 août 2026</w:t>
      </w:r>
    </w:p>
    <w:p>
      <w:pPr>
        <w:spacing w:before="40" w:after="1000"/>
        <w:jc w:val="center"/>
      </w:pPr>
      <w:r>
        <w:rPr>
          <w:rFonts w:ascii="Calibri" w:cs="Calibri" w:eastAsia="Calibri" w:hAnsi="Calibri"/>
          <w:i/>
          <w:iCs/>
          <w:color w:val="94A3B8"/>
          <w:sz w:val="20"/>
          <w:szCs w:val="20"/>
        </w:rPr>
        <w:t xml:space="preserve">Version bêta 1 · Extension Chrome · Mars 2026</w:t>
      </w:r>
    </w:p>
    <w:p>
      <w:r>
        <w:br w:type="page"/>
      </w: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Merci d'être là</w:t>
      </w:r>
    </w:p>
    <w:p>
      <w:pPr>
        <w:spacing w:before="0" w:after="100"/>
      </w:pPr>
    </w:p>
    <w:p>
      <w:pPr>
        <w:spacing w:before="80" w:after="10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Ce document est destiné aux professionnels participant à la bêta de Citizen Analyzer. Votre expertise et vos retours constituent une contribution directe à la qualité du projet.</w:t>
      </w:r>
    </w:p>
    <w:p>
      <w:pPr>
        <w:spacing w:before="6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La liste de vérification est fournie en document séparé. Elle est entièrement libre de respecter — aucune obligation, aucun formulaire imposé, aucun délai à tenir. Si vous souhaitez nous faire remonter vos observations autrement, tout canal est le bienvenu.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Ce guide couvre l'installation, la prise en main, et la compréhension des résultats. Pour la grille d'évaluation détaillée, consulter le document joint : Grille_evaluation_beta1.docx</w:t>
            </w:r>
          </w:p>
        </w:tc>
      </w:tr>
    </w:tbl>
    <w:p>
      <w:pPr>
        <w:spacing w:before="0" w:after="100"/>
      </w:pPr>
    </w:p>
    <w:p>
      <w:pPr>
        <w:pBdr>
          <w:bottom w:val="single" w:color="E2E8F0" w:sz="2" w:space="1"/>
        </w:pBdr>
        <w:spacing w:before="140" w:after="140"/>
      </w:pP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Citizen Analyzer — en bref</w:t>
      </w:r>
    </w:p>
    <w:p>
      <w:pPr>
        <w:spacing w:before="0" w:after="100"/>
      </w:pPr>
    </w:p>
    <w:p>
      <w:pPr>
        <w:spacing w:before="60" w:after="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Citizen Analyzer est une extension de navigateur (Chrome) qui analyse les discours et programmes politiques en temps réel, directement depuis votre navigateur.</w:t>
      </w:r>
    </w:p>
    <w:p>
      <w:pPr>
        <w:spacing w:before="60" w:after="4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Elle évalue 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La structure argumentative du texte analysé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La fiabilité rhétorique (cohérence, vérifiabilité des affirmations)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Le positionnement sur l'échelle de polyarchie démocratique (V-Dem)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Le positionnement idéologique pour les programmes (MARPOR)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L'impact personnel concret : module « Et moi ? »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Borders>
              <w:top w:val="single" w:color="3B82F6" w:sz="6"/>
              <w:left w:val="none" w:color="FFFFFF" w:sz="0"/>
              <w:bottom w:val="none" w:color="FFFFFF" w:sz="0"/>
              <w:right w:val="none" w:color="FFFFFF" w:sz="0"/>
            </w:tcBorders>
            <w:shd w:fill="F0F9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En bêta 1, les analyses en mode Discours sont prioritaires. Les modes Programme et Média sont partiellement disponibles selon le type de document.</w:t>
            </w:r>
          </w:p>
        </w:tc>
      </w:tr>
    </w:tbl>
    <w:p>
      <w:pPr>
        <w:spacing w:before="0" w:after="100"/>
      </w:pPr>
    </w:p>
    <w:p>
      <w:pPr>
        <w:pBdr>
          <w:bottom w:val="single" w:color="E2E8F0" w:sz="2" w:space="1"/>
        </w:pBdr>
        <w:spacing w:before="140" w:after="140"/>
      </w:pP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Installation — Chrome</w:t>
      </w:r>
    </w:p>
    <w:p>
      <w:pPr>
        <w:spacing w:before="0" w:after="100"/>
      </w:pPr>
    </w:p>
    <w:p>
      <w:pPr>
        <w:spacing w:before="6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Décompresser l'archive fournie. Vous obtenez un dossier extension/ à charger dans Chrome.</w:t>
      </w:r>
    </w:p>
    <w:p>
      <w:pPr>
        <w:spacing w:before="80" w:after="80"/>
      </w:pPr>
      <w:r>
        <w:drawing>
          <wp:inline distT="0" distB="0" distL="0" distR="0">
            <wp:extent cx="6858000" cy="5619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8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00"/>
      </w:pPr>
    </w:p>
    <w:p>
      <w:pPr>
        <w:spacing w:before="80" w:after="80"/>
      </w:pPr>
      <w:r>
        <w:drawing>
          <wp:inline distT="0" distB="0" distL="0" distR="0">
            <wp:extent cx="6858000" cy="723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0" w:after="80"/>
      </w:pPr>
      <w:r>
        <w:drawing>
          <wp:inline distT="0" distB="0" distL="0" distR="0">
            <wp:extent cx="6858000" cy="723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0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0" w:after="80"/>
      </w:pPr>
      <w:r>
        <w:drawing>
          <wp:inline distT="0" distB="0" distL="0" distR="0">
            <wp:extent cx="6858000" cy="723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1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80" w:after="80"/>
      </w:pPr>
      <w:r>
        <w:drawing>
          <wp:inline distT="0" distB="0" distL="0" distR="0">
            <wp:extent cx="6858000" cy="7239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2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L'extension n'est pas encore publiée sur le Chrome Web Store — l'installation en mode développeur est la procédure normale pour cette bêta. Elle est sans risque et ne nécessite aucun compte.</w:t>
            </w:r>
          </w:p>
        </w:tc>
      </w:tr>
    </w:tbl>
    <w:p>
      <w:pPr>
        <w:spacing w:before="0" w:after="100"/>
      </w:pPr>
    </w:p>
    <w:p>
      <w:pPr>
        <w:pBdr>
          <w:bottom w:val="single" w:color="E2E8F0" w:sz="2" w:space="1"/>
        </w:pBdr>
        <w:spacing w:before="140" w:after="140"/>
      </w:pP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Utilisation</w:t>
      </w:r>
    </w:p>
    <w:p>
      <w:pPr>
        <w:spacing w:before="0" w:after="100"/>
      </w:pPr>
    </w:p>
    <w:p>
      <w:pPr>
        <w:spacing w:before="80" w:after="80"/>
      </w:pPr>
      <w:r>
        <w:drawing>
          <wp:inline distT="0" distB="0" distL="0" distR="0">
            <wp:extent cx="6858000" cy="5619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3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00"/>
      </w:pPr>
    </w:p>
    <w:p>
      <w:pPr>
        <w:spacing w:before="60" w:after="4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Naviguer vers une page contenant un discours ou programme politique, puis :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Cliquer sur l'icône Citizen Analyzer dans la barre des extensions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Sélectionner le mode d'analyse : Discours / Programme / Média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Cliquer sur « Analyser »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Attendre 15 à 30 secondes — l'analyse passe par 4 niveaux successifs</w:t>
      </w:r>
    </w:p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Comprendre les résultats</w:t>
      </w:r>
    </w:p>
    <w:p>
      <w:pPr>
        <w:spacing w:before="0" w:after="100"/>
      </w:pPr>
    </w:p>
    <w:p>
      <w:pPr>
        <w:spacing w:before="80" w:after="80"/>
      </w:pPr>
      <w:r>
        <w:drawing>
          <wp:inline distT="0" distB="0" distL="0" distR="0">
            <wp:extent cx="6858000" cy="5619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14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61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100"/>
      </w:pP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Score global (0–100) : fiabilité et qualité argumentative combinées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Tiroirs N1 : structure thématique détectée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Tiroirs N2 : analyse sectorielle (économie, social, éducation…)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Grille de fiabilité : 10 indicateurs documentés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Thermomètre régime : position sur l'échelle V-Dem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Et moi ? : impact personnel selon les droits sociaux détectés</w:t>
      </w:r>
    </w:p>
    <w:p>
      <w:pPr>
        <w:spacing w:before="0" w:after="100"/>
      </w:pP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Partager une analyse</w:t>
      </w:r>
    </w:p>
    <w:p>
      <w:pPr>
        <w:spacing w:before="40" w:after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Le bouton « Partager » envoie l'analyse vers la bibliothèque commune sur citizen-analyzer.org. Le partage est anonyme — aucune donnée personnelle n'est transmise.</w:t>
      </w:r>
    </w:p>
    <w:p>
      <w:pPr>
        <w:spacing w:before="0" w:after="100"/>
      </w:pPr>
    </w:p>
    <w:p>
      <w:pPr>
        <w:pBdr>
          <w:bottom w:val="single" w:color="E2E8F0" w:sz="2" w:space="1"/>
        </w:pBdr>
        <w:spacing w:before="140" w:after="140"/>
      </w:pPr>
    </w:p>
    <w:p>
      <w:pPr>
        <w:pStyle w:val="Heading2"/>
        <w:pBdr>
          <w:bottom w:val="single" w:color="7C3AED" w:sz="4" w:space="4"/>
        </w:pBdr>
        <w:spacing w:before="240" w:after="100"/>
      </w:pPr>
      <w:r>
        <w:rPr>
          <w:rFonts w:ascii="Calibri" w:cs="Calibri" w:eastAsia="Calibri" w:hAnsi="Calibri"/>
          <w:b/>
          <w:bCs/>
          <w:color w:val="7C3AED"/>
          <w:sz w:val="28"/>
          <w:szCs w:val="28"/>
        </w:rPr>
        <w:t xml:space="preserve">Contact &amp; retours</w:t>
      </w:r>
    </w:p>
    <w:p>
      <w:pPr>
        <w:spacing w:before="0" w:after="100"/>
      </w:pPr>
    </w:p>
    <w:p>
      <w:pPr>
        <w:spacing w:before="60" w:after="6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1E1B4B"/>
          <w:sz w:val="22"/>
          <w:szCs w:val="22"/>
        </w:rPr>
        <w:t xml:space="preserve">Aucun canal n'est imposé. Vous pouvez transmettre vos retours par le moyen qui vous convient.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Email : contact@citizen-analyzer.org</w:t>
      </w:r>
    </w:p>
    <w:p>
      <w:pPr>
        <w:pStyle w:val="ListParagraph"/>
        <w:numPr>
          <w:ilvl w:val="0"/>
          <w:numId w:val="2"/>
        </w:numPr>
        <w:spacing w:before="40" w:after="40"/>
      </w:pPr>
      <w:r>
        <w:rPr>
          <w:rFonts w:ascii="Calibri" w:cs="Calibri" w:eastAsia="Calibri" w:hAnsi="Calibri"/>
          <w:color w:val="1E1B4B"/>
          <w:sz w:val="22"/>
          <w:szCs w:val="22"/>
        </w:rPr>
        <w:t xml:space="preserve">Site : citizen-analyzer.org → Contribuer</w:t>
      </w:r>
    </w:p>
    <w:p>
      <w:pPr>
        <w:spacing w:before="0" w:after="10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026"/>
      </w:tblGrid>
      <w:tr>
        <w:tc>
          <w:tcPr>
            <w:tcBorders>
              <w:top w:val="single" w:color="7C3AED" w:sz="6"/>
              <w:left w:val="none" w:color="FFFFFF" w:sz="0"/>
              <w:bottom w:val="none" w:color="FFFFFF" w:sz="0"/>
              <w:right w:val="none" w:color="FFFFFF" w:sz="0"/>
            </w:tcBorders>
            <w:shd w:fill="F8F7FF" w:val="clear"/>
            <w:tcMar>
              <w:top w:type="dxa" w:w="100"/>
              <w:left w:type="dxa" w:w="160"/>
              <w:bottom w:type="dxa" w:w="100"/>
              <w:right w:type="dxa" w:w="160"/>
            </w:tcMar>
          </w:tcPr>
          <w:p>
            <w:pPr>
              <w:spacing w:before="0" w:after="0"/>
            </w:pPr>
            <w:r>
              <w:rPr>
                <w:rFonts w:ascii="Calibri" w:cs="Calibri" w:eastAsia="Calibri" w:hAnsi="Calibri"/>
                <w:i/>
                <w:iCs/>
                <w:color w:val="374151"/>
                <w:sz w:val="20"/>
                <w:szCs w:val="20"/>
              </w:rPr>
              <w:t xml:space="preserve">La période de bêta officielle s'étend du 15 avril au 15 août 2026. La grille d'évaluation détaillée est disponible dans le document joint.</w:t>
            </w:r>
          </w:p>
        </w:tc>
      </w:tr>
    </w:tbl>
    <w:p>
      <w:pPr>
        <w:spacing w:before="0" w:after="100"/>
      </w:pPr>
    </w:p>
    <w:p>
      <w:pPr>
        <w:spacing w:before="160" w:after="6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7C3AED"/>
          <w:sz w:val="24"/>
          <w:szCs w:val="24"/>
        </w:rPr>
        <w:t xml:space="preserve">Merci pour votre participation.</w:t>
      </w:r>
    </w:p>
    <w:p>
      <w:pPr>
        <w:spacing w:before="40" w:after="6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64748B"/>
          <w:sz w:val="22"/>
          <w:szCs w:val="22"/>
        </w:rPr>
        <w:t xml:space="preserve">— L'équipe OCRI / AIDEC</w:t>
      </w:r>
    </w:p>
    <w:sectPr>
      <w:headerReference w:type="default" r:id="rId6"/>
      <w:footerReference w:type="default" r:id="rId7"/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E2E8F0" w:sz="2" w:space="4"/>
      </w:pBdr>
      <w:spacing w:before="80" w:after="0"/>
    </w:pPr>
    <w:r>
      <w:rPr>
        <w:rFonts w:ascii="Calibri" w:cs="Calibri" w:eastAsia="Calibri" w:hAnsi="Calibri"/>
        <w:color w:val="64748B"/>
        <w:sz w:val="16"/>
        <w:szCs w:val="16"/>
      </w:rPr>
      <w:t xml:space="preserve">citizen-analyzer.org  ·  OCRI / AIDEC  ·  Confidentiel bêta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7C3AED" w:sz="4" w:space="4"/>
      </w:pBdr>
      <w:spacing w:before="0" w:after="80"/>
    </w:pPr>
    <w:r>
      <w:rPr>
        <w:rFonts w:ascii="Calibri" w:cs="Calibri" w:eastAsia="Calibri" w:hAnsi="Calibri"/>
        <w:b/>
        <w:bCs/>
        <w:color w:val="7C3AED"/>
        <w:sz w:val="18"/>
        <w:szCs w:val="18"/>
      </w:rPr>
      <w:t xml:space="preserve">Citizen</w:t>
    </w:r>
    <w:r>
      <w:rPr>
        <w:rFonts w:ascii="Calibri" w:cs="Calibri" w:eastAsia="Calibri" w:hAnsi="Calibri"/>
        <w:b/>
        <w:bCs/>
        <w:color w:val="7C3AED"/>
        <w:sz w:val="18"/>
        <w:szCs w:val="18"/>
      </w:rPr>
      <w:t xml:space="preserve">Analyzer</w:t>
    </w:r>
    <w:r>
      <w:rPr>
        <w:rFonts w:ascii="Calibri" w:cs="Calibri" w:eastAsia="Calibri" w:hAnsi="Calibri"/>
        <w:color w:val="64748B"/>
        <w:sz w:val="18"/>
        <w:szCs w:val="18"/>
      </w:rPr>
      <w:t xml:space="preserve">  ·  Guide bêta-testeur  ·  Bêta 1  ·  Avril – Août 2026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→"/>
      <w:lvlJc w:val="left"/>
      <w:pPr>
        <w:ind w:left="540" w:hanging="360"/>
      </w:pPr>
      <w:rPr>
        <w:rFonts w:ascii="Calibri" w:cs="Calibri" w:eastAsia="Calibri" w:hAnsi="Calibri"/>
        <w:color w:val="7C3AED"/>
        <w:sz w:val="22"/>
        <w:szCs w:val="22"/>
      </w:r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1E1B4B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paragraph" w:styleId="Heading2">
    <w:name w:val="Heading 2"/>
    <w:basedOn w:val="Normal"/>
    <w:next w:val="Normal"/>
    <w:qFormat/>
    <w:pPr>
      <w:spacing w:before="240" w:after="100"/>
      <w:outlineLvl w:val="1"/>
    </w:pPr>
    <w:rPr>
      <w:rFonts w:ascii="Calibri" w:cs="Calibri" w:eastAsia="Calibri" w:hAnsi="Calibri"/>
      <w:b/>
      <w:bCs/>
      <w:color w:val="7C3AED"/>
      <w:sz w:val="28"/>
      <w:szCs w:val="28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image" Target="media/023922a29d3bb34383b3889eeb3630ce5721c7ad.png"/><Relationship Id="rId9" Type="http://schemas.openxmlformats.org/officeDocument/2006/relationships/image" Target="media/5e595e908fb96b158a14a94901ff265832f25c9b.png"/><Relationship Id="rId10" Type="http://schemas.openxmlformats.org/officeDocument/2006/relationships/image" Target="media/05654c5aebdc2f2e14e0f426bb17e96d9f016522.png"/><Relationship Id="rId11" Type="http://schemas.openxmlformats.org/officeDocument/2006/relationships/image" Target="media/666dc1039b3077c2cf6552546f8eb531119f27f1.png"/><Relationship Id="rId12" Type="http://schemas.openxmlformats.org/officeDocument/2006/relationships/image" Target="media/ea930c2b083d98689ff47c09b190be8d7ed8c062.png"/><Relationship Id="rId13" Type="http://schemas.openxmlformats.org/officeDocument/2006/relationships/image" Target="media/c384dc09ff69c3f9d265cdfc0b0afad0cfa141bd.png"/><Relationship Id="rId14" Type="http://schemas.openxmlformats.org/officeDocument/2006/relationships/image" Target="media/2cfa1f43a143edee4b301a3f46b00941a6a20504.png"/><Relationship Id="rId15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2026-03-12T19:20:37.328Z</dcterms:created>
  <dcterms:modified xsi:type="dcterms:W3CDTF">2026-03-12T19:20:37.329Z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